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1. How do Gifty and her mother use prayer differently throughout their lives, and especially after Nana’s death? What variations of prayer do the two women discover in the novel?</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2. How does Gifty approach the moral predicament of running her science experiments on mice? What elements of her faith and sense of connection to God’s creations are evident in how she treats the mice?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3. Consider the stigmas surrounding addiction, especially opioid addiction, the rates of which are exploding in today’s society. What other stigmas and expectations was Nana responding to by not asking for help to deal with his addiction, and others not doing more to help?</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4.  In what ways does Gifty take on the role of caretaker for those in her life? Who, if anyone, takes care of Gifty?</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5. What messages do Gifty and Nana hear about the intersection of race and poverty in their youth church meetings? How do the siblings respond to the conflation of the two—and what does the assumption that African countries are impoverished or need saving by missionaries suggest about the colonial power dynamic engrained in our society?</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6. Gifty refers to her relationship with her mother as an “experiment.” Are there similarities in the way Gifty approaches her work and her relationship with her mother? How did the separate events of losing the Chin Chin Man and Nana’s death affect their relationship? Throughout the course of their lives, how does Gifty determine whether or not her and her mother are “going to be ok” (33)?</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7. Throughout the book, Gifty struggles to find a sense of community in places where people traditionally find it (school, work, family, church, etc.). What life experiences shape her understanding of community? In what ways does this affect her ability to build relationships with the people in her life (Anna, Raymond, Katherine, Han)?</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8. Explore the idea of humans as the only animal “who believed he had transcended his Kingdom” (21). How does this idea influence Gifty’s relationship with science? With religion?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9. Describe the difference between Gifty’s connection to Ghana and her connection to Alabama. In what ways does she feel connected to her Ghanaian ancestry?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10. How does Gifty feel when she overhears congregants gossiping about her family? How does this experience influence her relationship with the church? With her family? With God?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11. Gifty privately considers her work in the lab as holy—“if not holy, then at least sacrosanct (p. 92).” Explain her reasoning, and why she chooses not to discuss this feeling with anyone.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